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4C36A234" w:rsidR="00D12567" w:rsidRPr="003D7B04" w:rsidRDefault="00FF08F9" w:rsidP="003B7F68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4EEF59AE" w:rsidR="00D12567" w:rsidRPr="003D7B04" w:rsidRDefault="00D12567" w:rsidP="003B7F68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011600">
        <w:rPr>
          <w:rFonts w:cs="Calibri"/>
          <w:szCs w:val="24"/>
          <w:u w:val="single"/>
        </w:rPr>
        <w:t>05.02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3B7F68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3D816499" w14:textId="16E72138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Výběrové řízení na byt č. 1113/27, ulice Průmyslová, Sezimovo Ústí (mat. č. 39/2024)</w:t>
      </w:r>
    </w:p>
    <w:p w14:paraId="7DD11E47" w14:textId="77777777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A83790F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3904579" w14:textId="77777777" w:rsidR="003647EF" w:rsidRPr="00BA510C" w:rsidRDefault="003647EF" w:rsidP="003647EF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60C610FE" w14:textId="5688A492" w:rsidR="003647EF" w:rsidRPr="00FD7F8E" w:rsidRDefault="003647EF" w:rsidP="003647EF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1113/27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Průmyslová</w:t>
      </w:r>
      <w:r w:rsidRPr="00FD7F8E">
        <w:rPr>
          <w:sz w:val="24"/>
          <w:szCs w:val="24"/>
        </w:rPr>
        <w:t xml:space="preserve"> č. p. </w:t>
      </w:r>
      <w:r>
        <w:rPr>
          <w:sz w:val="24"/>
          <w:szCs w:val="24"/>
        </w:rPr>
        <w:t>1113,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0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3.378</w:t>
      </w:r>
      <w:r w:rsidRPr="00FD7F8E">
        <w:rPr>
          <w:sz w:val="24"/>
          <w:szCs w:val="24"/>
        </w:rPr>
        <w:t xml:space="preserve"> Kč. Délka platebního období je stanovena na </w:t>
      </w:r>
      <w:r w:rsidR="00A7493B">
        <w:rPr>
          <w:sz w:val="24"/>
          <w:szCs w:val="24"/>
        </w:rPr>
        <w:br/>
      </w:r>
      <w:r w:rsidRPr="00FD7F8E">
        <w:rPr>
          <w:sz w:val="24"/>
          <w:szCs w:val="24"/>
        </w:rPr>
        <w:t>6 měsíců.</w:t>
      </w:r>
    </w:p>
    <w:p w14:paraId="1A178DAC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2436E5DB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27FD1AF9" w14:textId="73B7586B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Opravy bytového a nebytového fondu většího rozsahu za rok 2023 – vyhodnocení (mat. č. 40/2023)</w:t>
      </w:r>
    </w:p>
    <w:p w14:paraId="42EBCB31" w14:textId="1320B09F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</w:t>
      </w:r>
      <w:r w:rsidR="004A3531">
        <w:rPr>
          <w:rFonts w:cs="Calibri"/>
          <w:b/>
          <w:szCs w:val="24"/>
          <w:u w:val="single"/>
        </w:rPr>
        <w:t>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ADEFCBD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ECDEF7A" w14:textId="77777777" w:rsidR="003647EF" w:rsidRPr="00892135" w:rsidRDefault="003647EF" w:rsidP="003647EF">
      <w:pPr>
        <w:contextualSpacing/>
        <w:jc w:val="both"/>
        <w:rPr>
          <w:rFonts w:cs="Calibri"/>
          <w:b/>
          <w:szCs w:val="24"/>
        </w:rPr>
      </w:pPr>
      <w:r w:rsidRPr="00892135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892135">
        <w:rPr>
          <w:rFonts w:cs="Calibri"/>
          <w:b/>
          <w:szCs w:val="24"/>
        </w:rPr>
        <w:t xml:space="preserve"> </w:t>
      </w:r>
    </w:p>
    <w:p w14:paraId="5D68E37A" w14:textId="77777777" w:rsidR="003647EF" w:rsidRDefault="003647EF" w:rsidP="003647EF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v</w:t>
      </w:r>
      <w:r w:rsidRPr="003C2182">
        <w:rPr>
          <w:rFonts w:cs="Calibri"/>
          <w:szCs w:val="24"/>
        </w:rPr>
        <w:t xml:space="preserve">yhodnocení účelově vázaných prostředků na opravy bytového </w:t>
      </w:r>
      <w:r>
        <w:rPr>
          <w:rFonts w:cs="Calibri"/>
          <w:szCs w:val="24"/>
        </w:rPr>
        <w:t xml:space="preserve">a nebytového </w:t>
      </w:r>
      <w:r w:rsidRPr="003C2182">
        <w:rPr>
          <w:rFonts w:cs="Calibri"/>
          <w:szCs w:val="24"/>
        </w:rPr>
        <w:t>f</w:t>
      </w:r>
      <w:r>
        <w:rPr>
          <w:rFonts w:cs="Calibri"/>
          <w:szCs w:val="24"/>
        </w:rPr>
        <w:t>ondu většího rozsahu za rok 2023 dle důvodové zprávy.</w:t>
      </w:r>
    </w:p>
    <w:p w14:paraId="2651CF12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0F719292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340090AF" w14:textId="506289C5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Plán oprav bytových a nebytových prostor většího rozsahu na rok 2024 (mat. č. 41/2024)</w:t>
      </w:r>
    </w:p>
    <w:p w14:paraId="26539A91" w14:textId="58EE1D1E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</w:t>
      </w:r>
      <w:r w:rsidR="004A3531">
        <w:rPr>
          <w:rFonts w:cs="Calibri"/>
          <w:b/>
          <w:szCs w:val="24"/>
          <w:u w:val="single"/>
        </w:rPr>
        <w:t>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05D6E4F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BBD5538" w14:textId="77777777" w:rsidR="003647EF" w:rsidRPr="00892135" w:rsidRDefault="003647EF" w:rsidP="003647EF">
      <w:pPr>
        <w:contextualSpacing/>
        <w:jc w:val="both"/>
        <w:rPr>
          <w:rFonts w:cs="Calibri"/>
          <w:b/>
          <w:szCs w:val="24"/>
        </w:rPr>
      </w:pPr>
      <w:r w:rsidRPr="00892135">
        <w:rPr>
          <w:rFonts w:cs="Calibri"/>
          <w:b/>
          <w:szCs w:val="24"/>
        </w:rPr>
        <w:t xml:space="preserve">I. Schvaluje </w:t>
      </w:r>
    </w:p>
    <w:p w14:paraId="397B3151" w14:textId="1AF9810F" w:rsidR="003647EF" w:rsidRDefault="003647EF" w:rsidP="003647EF">
      <w:pPr>
        <w:contextualSpacing/>
        <w:jc w:val="both"/>
        <w:rPr>
          <w:rFonts w:cs="Calibri"/>
          <w:szCs w:val="24"/>
        </w:rPr>
      </w:pPr>
      <w:r w:rsidRPr="00892135">
        <w:rPr>
          <w:rFonts w:cs="Calibri"/>
          <w:szCs w:val="24"/>
        </w:rPr>
        <w:t>plán oprav bytových a nebytových prostor v majetku města většího rozsahu na rok 20</w:t>
      </w:r>
      <w:r>
        <w:rPr>
          <w:rFonts w:cs="Calibri"/>
          <w:szCs w:val="24"/>
        </w:rPr>
        <w:t>24 dle upravené přílohy</w:t>
      </w:r>
      <w:r w:rsidRPr="00892135">
        <w:rPr>
          <w:rFonts w:cs="Calibri"/>
          <w:szCs w:val="24"/>
        </w:rPr>
        <w:t>.</w:t>
      </w:r>
    </w:p>
    <w:p w14:paraId="4B26D551" w14:textId="77777777" w:rsidR="003647EF" w:rsidRPr="00892135" w:rsidRDefault="003647EF" w:rsidP="003647EF">
      <w:pPr>
        <w:contextualSpacing/>
        <w:jc w:val="both"/>
        <w:rPr>
          <w:rFonts w:cs="Calibri"/>
          <w:b/>
          <w:szCs w:val="24"/>
        </w:rPr>
      </w:pPr>
      <w:r w:rsidRPr="00892135">
        <w:rPr>
          <w:rFonts w:cs="Calibri"/>
          <w:b/>
          <w:szCs w:val="24"/>
        </w:rPr>
        <w:t>II. Ukládá</w:t>
      </w:r>
    </w:p>
    <w:p w14:paraId="2BD26097" w14:textId="77777777" w:rsidR="003647EF" w:rsidRPr="00892135" w:rsidRDefault="003647EF" w:rsidP="003647EF">
      <w:pPr>
        <w:contextualSpacing/>
        <w:jc w:val="both"/>
        <w:rPr>
          <w:rFonts w:cs="Calibri"/>
          <w:szCs w:val="24"/>
        </w:rPr>
      </w:pPr>
      <w:r w:rsidRPr="00892135">
        <w:rPr>
          <w:rFonts w:cs="Calibri"/>
          <w:szCs w:val="24"/>
        </w:rPr>
        <w:t>řediteli PO Správa města Sezimovo Ústí zajistit do 15.12.20</w:t>
      </w:r>
      <w:r>
        <w:rPr>
          <w:rFonts w:cs="Calibri"/>
          <w:szCs w:val="24"/>
        </w:rPr>
        <w:t>24</w:t>
      </w:r>
      <w:r w:rsidRPr="00892135">
        <w:rPr>
          <w:rFonts w:cs="Calibri"/>
          <w:szCs w:val="24"/>
        </w:rPr>
        <w:t xml:space="preserve"> realizaci schváleného plánu oprav bytových a nebytových prostor v majetku města většího rozsahu v souladu se zásadami a postupy při zadávání veřejných zakázek malého rozsahu.</w:t>
      </w:r>
    </w:p>
    <w:p w14:paraId="693703E7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01F104DC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14BB5554" w14:textId="0E60536A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Konkursní řízení na ředitele/ředitelky ZŠ a MŠ (mat. č. 42/2024)</w:t>
      </w:r>
    </w:p>
    <w:p w14:paraId="01A4EA2C" w14:textId="46007487" w:rsidR="00230FD2" w:rsidRPr="003647EF" w:rsidRDefault="00230FD2" w:rsidP="00230FD2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3647EF">
        <w:rPr>
          <w:rFonts w:asciiTheme="minorHAnsi" w:hAnsiTheme="minorHAnsi" w:cstheme="minorHAnsi"/>
          <w:b/>
          <w:szCs w:val="24"/>
          <w:u w:val="single"/>
        </w:rPr>
        <w:t>Usnesení č. 4</w:t>
      </w:r>
      <w:r w:rsidR="004A3531" w:rsidRPr="003647EF">
        <w:rPr>
          <w:rFonts w:asciiTheme="minorHAnsi" w:hAnsiTheme="minorHAnsi" w:cstheme="minorHAnsi"/>
          <w:b/>
          <w:szCs w:val="24"/>
          <w:u w:val="single"/>
        </w:rPr>
        <w:t>3</w:t>
      </w:r>
      <w:r w:rsidRPr="003647EF">
        <w:rPr>
          <w:rFonts w:asciiTheme="minorHAnsi" w:hAnsiTheme="minorHAnsi" w:cstheme="minorHAnsi"/>
          <w:b/>
          <w:szCs w:val="24"/>
          <w:u w:val="single"/>
        </w:rPr>
        <w:t>/2024</w:t>
      </w:r>
    </w:p>
    <w:p w14:paraId="2EB852B5" w14:textId="77777777" w:rsidR="00230FD2" w:rsidRPr="003647EF" w:rsidRDefault="00230FD2" w:rsidP="00230FD2">
      <w:pPr>
        <w:contextualSpacing/>
        <w:jc w:val="both"/>
        <w:rPr>
          <w:rFonts w:asciiTheme="minorHAnsi" w:hAnsiTheme="minorHAnsi" w:cstheme="minorHAnsi"/>
          <w:szCs w:val="24"/>
        </w:rPr>
      </w:pPr>
      <w:r w:rsidRPr="003647EF">
        <w:rPr>
          <w:rFonts w:asciiTheme="minorHAnsi" w:hAnsiTheme="minorHAnsi" w:cstheme="minorHAnsi"/>
          <w:szCs w:val="24"/>
        </w:rPr>
        <w:t>RM po projednání</w:t>
      </w:r>
    </w:p>
    <w:p w14:paraId="6B524287" w14:textId="77777777" w:rsidR="003647EF" w:rsidRPr="003647EF" w:rsidRDefault="003647EF" w:rsidP="003647EF">
      <w:pPr>
        <w:pStyle w:val="Zkladntext"/>
        <w:contextualSpacing/>
        <w:rPr>
          <w:rFonts w:asciiTheme="minorHAnsi" w:hAnsiTheme="minorHAnsi" w:cstheme="minorHAnsi"/>
          <w:b/>
          <w:sz w:val="24"/>
        </w:rPr>
      </w:pPr>
      <w:r w:rsidRPr="003647EF">
        <w:rPr>
          <w:rFonts w:asciiTheme="minorHAnsi" w:hAnsiTheme="minorHAnsi" w:cstheme="minorHAnsi"/>
          <w:b/>
          <w:sz w:val="24"/>
        </w:rPr>
        <w:t>I. Vyhlašuje</w:t>
      </w:r>
    </w:p>
    <w:p w14:paraId="4DCF334C" w14:textId="77777777" w:rsidR="003647EF" w:rsidRPr="003647EF" w:rsidRDefault="003647EF" w:rsidP="003647EF">
      <w:pPr>
        <w:pStyle w:val="Zkladntext"/>
        <w:contextualSpacing/>
        <w:jc w:val="both"/>
        <w:rPr>
          <w:rFonts w:asciiTheme="minorHAnsi" w:hAnsiTheme="minorHAnsi" w:cstheme="minorHAnsi"/>
          <w:sz w:val="24"/>
        </w:rPr>
      </w:pPr>
      <w:r w:rsidRPr="003647EF">
        <w:rPr>
          <w:rFonts w:asciiTheme="minorHAnsi" w:hAnsiTheme="minorHAnsi" w:cstheme="minorHAnsi"/>
          <w:sz w:val="24"/>
        </w:rPr>
        <w:t>konkursní řízení na pracovní místo ředitel/ředitelka organizací:</w:t>
      </w:r>
    </w:p>
    <w:p w14:paraId="20EFC700" w14:textId="77777777" w:rsidR="003647EF" w:rsidRPr="003647EF" w:rsidRDefault="003647EF" w:rsidP="003647EF">
      <w:pPr>
        <w:pStyle w:val="Zkladntex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</w:rPr>
      </w:pPr>
      <w:r w:rsidRPr="003647EF">
        <w:rPr>
          <w:rFonts w:asciiTheme="minorHAnsi" w:hAnsiTheme="minorHAnsi" w:cstheme="minorHAnsi"/>
          <w:sz w:val="24"/>
        </w:rPr>
        <w:t>Základní škola a Mateřská škola Sezimovo Ústí, 9. května 489, okres Tábor, sídlo: 9. května 489, 391 02 Sezimovo Ústí, IČ: 709 38 318;</w:t>
      </w:r>
    </w:p>
    <w:p w14:paraId="29B1FD0E" w14:textId="25E7EF84" w:rsidR="003647EF" w:rsidRPr="003647EF" w:rsidRDefault="003647EF" w:rsidP="003647EF">
      <w:pPr>
        <w:pStyle w:val="Zkladntex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</w:rPr>
      </w:pPr>
      <w:r w:rsidRPr="003647EF">
        <w:rPr>
          <w:rFonts w:asciiTheme="minorHAnsi" w:hAnsiTheme="minorHAnsi" w:cstheme="minorHAnsi"/>
          <w:sz w:val="24"/>
        </w:rPr>
        <w:t xml:space="preserve">Základní škola Sezimovo Ústí, Školní náměstí 628, okres Tábor, sídlo: Školní náměstí 628, </w:t>
      </w:r>
      <w:r>
        <w:rPr>
          <w:rFonts w:asciiTheme="minorHAnsi" w:hAnsiTheme="minorHAnsi" w:cstheme="minorHAnsi"/>
          <w:sz w:val="24"/>
        </w:rPr>
        <w:br/>
      </w:r>
      <w:r w:rsidRPr="003647EF">
        <w:rPr>
          <w:rFonts w:asciiTheme="minorHAnsi" w:hAnsiTheme="minorHAnsi" w:cstheme="minorHAnsi"/>
          <w:sz w:val="24"/>
        </w:rPr>
        <w:t>391 02 Sezimovo Ústí, IČ: 005 82 620;</w:t>
      </w:r>
    </w:p>
    <w:p w14:paraId="2C45C273" w14:textId="076185AA" w:rsidR="003647EF" w:rsidRPr="003647EF" w:rsidRDefault="003647EF" w:rsidP="003647EF">
      <w:pPr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3647EF">
        <w:rPr>
          <w:rFonts w:asciiTheme="minorHAnsi" w:hAnsiTheme="minorHAnsi" w:cstheme="minorHAnsi"/>
          <w:szCs w:val="24"/>
        </w:rPr>
        <w:t xml:space="preserve">Základní škola Sezimovo Ústí, Švehlova 111, okres Tábor, sídlo: Švehlova 111, </w:t>
      </w:r>
      <w:r>
        <w:rPr>
          <w:rFonts w:asciiTheme="minorHAnsi" w:hAnsiTheme="minorHAnsi" w:cstheme="minorHAnsi"/>
          <w:szCs w:val="24"/>
        </w:rPr>
        <w:br/>
      </w:r>
      <w:r w:rsidRPr="003647EF">
        <w:rPr>
          <w:rFonts w:asciiTheme="minorHAnsi" w:hAnsiTheme="minorHAnsi" w:cstheme="minorHAnsi"/>
          <w:szCs w:val="24"/>
        </w:rPr>
        <w:t>391 01 Sezimovo Ústí, IČ: 709 38 3</w:t>
      </w:r>
      <w:r w:rsidR="00A7493B">
        <w:rPr>
          <w:rFonts w:asciiTheme="minorHAnsi" w:hAnsiTheme="minorHAnsi" w:cstheme="minorHAnsi"/>
          <w:szCs w:val="24"/>
        </w:rPr>
        <w:t>00</w:t>
      </w:r>
      <w:r w:rsidRPr="003647EF">
        <w:rPr>
          <w:rFonts w:asciiTheme="minorHAnsi" w:hAnsiTheme="minorHAnsi" w:cstheme="minorHAnsi"/>
          <w:szCs w:val="24"/>
        </w:rPr>
        <w:t>;</w:t>
      </w:r>
    </w:p>
    <w:p w14:paraId="0B4190BE" w14:textId="77777777" w:rsidR="003647EF" w:rsidRPr="003647EF" w:rsidRDefault="003647EF" w:rsidP="003647EF">
      <w:pPr>
        <w:pStyle w:val="Zkladntex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</w:rPr>
      </w:pPr>
      <w:r w:rsidRPr="003647EF">
        <w:rPr>
          <w:rFonts w:asciiTheme="minorHAnsi" w:hAnsiTheme="minorHAnsi" w:cstheme="minorHAnsi"/>
          <w:sz w:val="24"/>
        </w:rPr>
        <w:t>Mateřská škola Sezimovo Ústí, Kaplického 1037, sídlo: Kaplického 1037, 391 01 Sezimovo Ústí, IČ: 709 38 296;</w:t>
      </w:r>
    </w:p>
    <w:p w14:paraId="6D5A9021" w14:textId="77777777" w:rsidR="003647EF" w:rsidRPr="003647EF" w:rsidRDefault="003647EF" w:rsidP="003647EF">
      <w:pPr>
        <w:pStyle w:val="Zkladntext"/>
        <w:contextualSpacing/>
        <w:jc w:val="both"/>
        <w:rPr>
          <w:rFonts w:asciiTheme="minorHAnsi" w:hAnsiTheme="minorHAnsi" w:cstheme="minorHAnsi"/>
          <w:sz w:val="24"/>
        </w:rPr>
      </w:pPr>
      <w:r w:rsidRPr="003647EF">
        <w:rPr>
          <w:rFonts w:asciiTheme="minorHAnsi" w:hAnsiTheme="minorHAnsi" w:cstheme="minorHAnsi"/>
          <w:sz w:val="24"/>
        </w:rPr>
        <w:lastRenderedPageBreak/>
        <w:t>s tím, že náležitosti vyhlášení konkursů podle § 3 vyhlášky č. 54/2005 Sb., o náležitostech konkursního řízení a konkursních komisí, jsou stanoveny v příloze, která je nedílnou součástí přiloženého materiálu.</w:t>
      </w:r>
    </w:p>
    <w:p w14:paraId="46582A4A" w14:textId="77777777" w:rsidR="003647EF" w:rsidRPr="003647EF" w:rsidRDefault="003647EF" w:rsidP="003647EF">
      <w:pPr>
        <w:pStyle w:val="Zkladntext"/>
        <w:contextualSpacing/>
        <w:jc w:val="both"/>
        <w:rPr>
          <w:rFonts w:asciiTheme="minorHAnsi" w:hAnsiTheme="minorHAnsi" w:cstheme="minorHAnsi"/>
          <w:b/>
          <w:sz w:val="24"/>
        </w:rPr>
      </w:pPr>
      <w:r w:rsidRPr="003647EF">
        <w:rPr>
          <w:rFonts w:asciiTheme="minorHAnsi" w:hAnsiTheme="minorHAnsi" w:cstheme="minorHAnsi"/>
          <w:b/>
          <w:sz w:val="24"/>
        </w:rPr>
        <w:t>II. Pověřuje</w:t>
      </w:r>
    </w:p>
    <w:p w14:paraId="3F5B2CBA" w14:textId="77777777" w:rsidR="003647EF" w:rsidRPr="003647EF" w:rsidRDefault="003647EF" w:rsidP="003647EF">
      <w:pPr>
        <w:pStyle w:val="Zkladntext"/>
        <w:contextualSpacing/>
        <w:jc w:val="both"/>
        <w:rPr>
          <w:rFonts w:asciiTheme="minorHAnsi" w:hAnsiTheme="minorHAnsi" w:cstheme="minorHAnsi"/>
          <w:iCs/>
          <w:sz w:val="24"/>
        </w:rPr>
      </w:pPr>
      <w:r w:rsidRPr="003647EF">
        <w:rPr>
          <w:rFonts w:asciiTheme="minorHAnsi" w:hAnsiTheme="minorHAnsi" w:cstheme="minorHAnsi"/>
          <w:iCs/>
          <w:sz w:val="24"/>
        </w:rPr>
        <w:t xml:space="preserve">Emu Králíkovou, zaměstnankyni </w:t>
      </w:r>
      <w:proofErr w:type="spellStart"/>
      <w:r w:rsidRPr="003647EF">
        <w:rPr>
          <w:rFonts w:asciiTheme="minorHAnsi" w:hAnsiTheme="minorHAnsi" w:cstheme="minorHAnsi"/>
          <w:iCs/>
          <w:sz w:val="24"/>
        </w:rPr>
        <w:t>MěÚ</w:t>
      </w:r>
      <w:proofErr w:type="spellEnd"/>
      <w:r w:rsidRPr="003647EF">
        <w:rPr>
          <w:rFonts w:asciiTheme="minorHAnsi" w:hAnsiTheme="minorHAnsi" w:cstheme="minorHAnsi"/>
          <w:iCs/>
          <w:sz w:val="24"/>
        </w:rPr>
        <w:t>, tajemníkem konkursních komisí dle bodu I.</w:t>
      </w:r>
    </w:p>
    <w:p w14:paraId="27CFBF3A" w14:textId="77777777" w:rsidR="003647EF" w:rsidRPr="003647EF" w:rsidRDefault="003647EF" w:rsidP="003647EF">
      <w:pPr>
        <w:pStyle w:val="Zkladntext"/>
        <w:contextualSpacing/>
        <w:jc w:val="both"/>
        <w:rPr>
          <w:rFonts w:asciiTheme="minorHAnsi" w:hAnsiTheme="minorHAnsi" w:cstheme="minorHAnsi"/>
          <w:b/>
          <w:iCs/>
          <w:sz w:val="24"/>
        </w:rPr>
      </w:pPr>
      <w:r w:rsidRPr="003647EF">
        <w:rPr>
          <w:rFonts w:asciiTheme="minorHAnsi" w:hAnsiTheme="minorHAnsi" w:cstheme="minorHAnsi"/>
          <w:b/>
          <w:iCs/>
          <w:sz w:val="24"/>
        </w:rPr>
        <w:t>III. Ukládá</w:t>
      </w:r>
    </w:p>
    <w:p w14:paraId="67E7DDDF" w14:textId="77777777" w:rsidR="003647EF" w:rsidRPr="003647EF" w:rsidRDefault="003647EF" w:rsidP="003647EF">
      <w:pPr>
        <w:pStyle w:val="Zkladntext"/>
        <w:contextualSpacing/>
        <w:jc w:val="both"/>
        <w:rPr>
          <w:rFonts w:asciiTheme="minorHAnsi" w:hAnsiTheme="minorHAnsi" w:cstheme="minorHAnsi"/>
          <w:sz w:val="24"/>
        </w:rPr>
      </w:pPr>
      <w:r w:rsidRPr="003647EF">
        <w:rPr>
          <w:rFonts w:asciiTheme="minorHAnsi" w:hAnsiTheme="minorHAnsi" w:cstheme="minorHAnsi"/>
          <w:sz w:val="24"/>
        </w:rPr>
        <w:t>Mgr. Ing. Martinu Doležalovi, LL.M., starostovi města, předložit na jednání rady města dne 04.03.2024 návrh na složení jednotlivých konkursních komisí.</w:t>
      </w:r>
    </w:p>
    <w:p w14:paraId="56047C5F" w14:textId="77777777" w:rsidR="00230FD2" w:rsidRPr="003647EF" w:rsidRDefault="00230FD2" w:rsidP="00230FD2">
      <w:pPr>
        <w:contextualSpacing/>
        <w:jc w:val="both"/>
        <w:rPr>
          <w:rFonts w:asciiTheme="minorHAnsi" w:hAnsiTheme="minorHAnsi" w:cstheme="minorHAnsi"/>
          <w:szCs w:val="24"/>
        </w:rPr>
      </w:pPr>
      <w:r w:rsidRPr="003647EF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3647EF">
        <w:rPr>
          <w:rFonts w:asciiTheme="minorHAnsi" w:hAnsiTheme="minorHAnsi" w:cstheme="minorHAnsi"/>
          <w:szCs w:val="24"/>
        </w:rPr>
        <w:t>7A</w:t>
      </w:r>
      <w:proofErr w:type="gramEnd"/>
      <w:r w:rsidRPr="003647EF">
        <w:rPr>
          <w:rFonts w:asciiTheme="minorHAnsi" w:hAnsiTheme="minorHAnsi" w:cstheme="minorHAnsi"/>
          <w:szCs w:val="24"/>
        </w:rPr>
        <w:t>/0N/0Z</w:t>
      </w:r>
    </w:p>
    <w:p w14:paraId="32D84E28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71C5437D" w14:textId="4E5E93FD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Zřízení služebnosti inženýrské sítě vč. souhlasu se stavbou – ul. Lužnická, kabel NN</w:t>
      </w:r>
      <w:r w:rsidR="00265D86">
        <w:rPr>
          <w:rFonts w:cs="Calibri"/>
          <w:b/>
          <w:bCs/>
          <w:szCs w:val="24"/>
        </w:rPr>
        <w:t xml:space="preserve"> </w:t>
      </w:r>
      <w:r w:rsidRPr="009933D8">
        <w:rPr>
          <w:rFonts w:cs="Calibri"/>
          <w:b/>
          <w:bCs/>
          <w:szCs w:val="24"/>
        </w:rPr>
        <w:t>(mat. č. 43/2024)</w:t>
      </w:r>
    </w:p>
    <w:p w14:paraId="14E87569" w14:textId="3932505E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</w:t>
      </w:r>
      <w:r w:rsidR="004A3531">
        <w:rPr>
          <w:rFonts w:cs="Calibri"/>
          <w:b/>
          <w:szCs w:val="24"/>
          <w:u w:val="single"/>
        </w:rPr>
        <w:t>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4ECF677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BA53B7D" w14:textId="77777777" w:rsidR="003647EF" w:rsidRDefault="003647EF" w:rsidP="003647E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Revokuje</w:t>
      </w:r>
    </w:p>
    <w:p w14:paraId="0CE81556" w14:textId="77777777" w:rsidR="003647EF" w:rsidRPr="003647EF" w:rsidRDefault="003647EF" w:rsidP="003647EF">
      <w:pPr>
        <w:pStyle w:val="Nzev"/>
        <w:jc w:val="both"/>
        <w:rPr>
          <w:rFonts w:ascii="Calibri" w:eastAsia="Calibri" w:hAnsi="Calibri"/>
          <w:color w:val="auto"/>
          <w:sz w:val="24"/>
          <w:lang w:val="cs-CZ" w:eastAsia="zh-CN"/>
        </w:rPr>
      </w:pPr>
      <w:r w:rsidRPr="003647EF">
        <w:rPr>
          <w:rFonts w:ascii="Calibri" w:eastAsia="Calibri" w:hAnsi="Calibri"/>
          <w:color w:val="auto"/>
          <w:sz w:val="24"/>
          <w:lang w:val="cs-CZ" w:eastAsia="zh-CN"/>
        </w:rPr>
        <w:t xml:space="preserve">usnesení Rady města Sezimovo Ústí č. 258/2023 ze dne 26.06.2023. </w:t>
      </w:r>
    </w:p>
    <w:p w14:paraId="3E873F83" w14:textId="77777777" w:rsidR="003647EF" w:rsidRPr="00244949" w:rsidRDefault="003647EF" w:rsidP="003647E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659C5210" w14:textId="43517C5C" w:rsidR="003647EF" w:rsidRDefault="003647EF" w:rsidP="003647EF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kabel NN v celkové délce cca 29,7 m </w:t>
      </w:r>
      <w:r w:rsidR="00A7493B">
        <w:br/>
      </w:r>
      <w:r>
        <w:t xml:space="preserve">v pozemcích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10/20 – ostatní plocha, ostatní komunikace a č.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10/90 – ostatní plocha, ostatní komunikace, oba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 xml:space="preserve">, </w:t>
      </w:r>
      <w:r>
        <w:t xml:space="preserve">jako služebnost osobní, </w:t>
      </w:r>
      <w:r w:rsidRPr="007300E9">
        <w:t xml:space="preserve">ve prospěch </w:t>
      </w:r>
      <w:r>
        <w:t xml:space="preserve">společnosti </w:t>
      </w:r>
      <w:proofErr w:type="gramStart"/>
      <w:r>
        <w:t>EG.D</w:t>
      </w:r>
      <w:proofErr w:type="gramEnd"/>
      <w:r>
        <w:t>, a.s., IČ: 28085400, se sídlem Lidická 1873/36, 602 00  Brno,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jednorázovou náhradu ve výši 12.400 Kč </w:t>
      </w:r>
      <w:r w:rsidRPr="00360613">
        <w:t>+ 21%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</w:t>
      </w:r>
    </w:p>
    <w:p w14:paraId="390528F9" w14:textId="77777777" w:rsidR="003647EF" w:rsidRPr="00244949" w:rsidRDefault="003647EF" w:rsidP="003647E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1601A749" w14:textId="5E0F82D3" w:rsidR="003647EF" w:rsidRDefault="003647EF" w:rsidP="003647EF">
      <w:pPr>
        <w:jc w:val="both"/>
        <w:rPr>
          <w:szCs w:val="24"/>
        </w:rPr>
      </w:pPr>
      <w:r>
        <w:rPr>
          <w:szCs w:val="24"/>
        </w:rPr>
        <w:t xml:space="preserve">se stavbou „Sezimovo Ústí: Lužnická, </w:t>
      </w:r>
      <w:proofErr w:type="spellStart"/>
      <w:proofErr w:type="gramStart"/>
      <w:r>
        <w:rPr>
          <w:szCs w:val="24"/>
        </w:rPr>
        <w:t>příp.kNN</w:t>
      </w:r>
      <w:proofErr w:type="spellEnd"/>
      <w:proofErr w:type="gramEnd"/>
      <w:r>
        <w:rPr>
          <w:szCs w:val="24"/>
        </w:rPr>
        <w:t xml:space="preserve">“ na pozemcích </w:t>
      </w:r>
      <w:r>
        <w:t xml:space="preserve">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10/20 – ostatní plocha, ostatní komunikace a č.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10/90 – ostatní plocha, ostatní komunikace, oba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>,</w:t>
      </w:r>
      <w:r>
        <w:t xml:space="preserve"> </w:t>
      </w:r>
      <w:r>
        <w:rPr>
          <w:szCs w:val="24"/>
        </w:rPr>
        <w:t>na kterých bude stavba realizována, a jejichž vlastníkem je město Sezimovo Ústí.</w:t>
      </w:r>
    </w:p>
    <w:p w14:paraId="0C982030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08023724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37BB19A8" w14:textId="27C4C065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Zřízení služebnosti inženýrské sítě vč. souhlasu se stavbou – vodovodní přípojka</w:t>
      </w:r>
      <w:r w:rsidR="00265D86">
        <w:rPr>
          <w:rFonts w:cs="Calibri"/>
          <w:b/>
          <w:bCs/>
          <w:szCs w:val="24"/>
        </w:rPr>
        <w:t xml:space="preserve"> </w:t>
      </w:r>
      <w:r w:rsidRPr="009933D8">
        <w:rPr>
          <w:rFonts w:cs="Calibri"/>
          <w:b/>
          <w:bCs/>
          <w:szCs w:val="24"/>
        </w:rPr>
        <w:t>(mat. č. 44/2024)</w:t>
      </w:r>
    </w:p>
    <w:p w14:paraId="7AF66F47" w14:textId="2E689CB7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</w:t>
      </w:r>
      <w:r w:rsidR="004A3531">
        <w:rPr>
          <w:rFonts w:cs="Calibri"/>
          <w:b/>
          <w:szCs w:val="24"/>
          <w:u w:val="single"/>
        </w:rPr>
        <w:t>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B17FB31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5C83A04" w14:textId="77777777" w:rsidR="005F389F" w:rsidRPr="00244949" w:rsidRDefault="005F389F" w:rsidP="005F389F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6D666645" w14:textId="70E69EB7" w:rsidR="005F389F" w:rsidRDefault="005F389F" w:rsidP="005F389F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vodovodní přípojka v délce cca 5,6 m </w:t>
      </w:r>
      <w:r w:rsidR="00A7493B">
        <w:br/>
      </w:r>
      <w:r>
        <w:t xml:space="preserve">v 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802/1 – ostatní plocha, ostatní komunikace, </w:t>
      </w:r>
      <w:r>
        <w:t xml:space="preserve">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 xml:space="preserve">, </w:t>
      </w:r>
      <w:r>
        <w:t xml:space="preserve">jako služebnost pozemkovou, </w:t>
      </w:r>
      <w:r w:rsidRPr="007300E9">
        <w:t xml:space="preserve">ve prospěch </w:t>
      </w:r>
      <w:r>
        <w:t xml:space="preserve">pozemku č. </w:t>
      </w:r>
      <w:proofErr w:type="spellStart"/>
      <w:r>
        <w:t>parc</w:t>
      </w:r>
      <w:proofErr w:type="spellEnd"/>
      <w:r>
        <w:t xml:space="preserve">. st. 1079 – ostatní plocha, jiná plocha, obec a k. </w:t>
      </w:r>
      <w:proofErr w:type="spellStart"/>
      <w:r>
        <w:t>ú.</w:t>
      </w:r>
      <w:proofErr w:type="spellEnd"/>
      <w:r>
        <w:t xml:space="preserve"> Sezimovo Ústí,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jednorázovou náhradu ve výši 100 Kč/1 </w:t>
      </w:r>
      <w:proofErr w:type="spellStart"/>
      <w:r>
        <w:t>bm</w:t>
      </w:r>
      <w:proofErr w:type="spellEnd"/>
      <w:r>
        <w:t xml:space="preserve"> </w:t>
      </w:r>
      <w:r w:rsidRPr="00360613">
        <w:t>+ 21</w:t>
      </w:r>
      <w:r>
        <w:t xml:space="preserve"> </w:t>
      </w:r>
      <w:r w:rsidRPr="00360613">
        <w:t>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</w:t>
      </w:r>
    </w:p>
    <w:p w14:paraId="0C6E5576" w14:textId="77777777" w:rsidR="005F389F" w:rsidRPr="00244949" w:rsidRDefault="005F389F" w:rsidP="005F389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7FD15506" w14:textId="77777777" w:rsidR="005F389F" w:rsidRDefault="005F389F" w:rsidP="005F389F">
      <w:pPr>
        <w:jc w:val="both"/>
        <w:rPr>
          <w:szCs w:val="24"/>
        </w:rPr>
      </w:pPr>
      <w:r>
        <w:rPr>
          <w:szCs w:val="24"/>
        </w:rPr>
        <w:t>se stavbou vodovodní přípojky na pozemku</w:t>
      </w:r>
      <w:r w:rsidRPr="00823A43">
        <w:t xml:space="preserve"> </w:t>
      </w:r>
      <w:r>
        <w:t xml:space="preserve">č.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>802/1 – ostatní plocha, ostatní komunikace,</w:t>
      </w:r>
      <w:r>
        <w:t xml:space="preserve"> 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>,</w:t>
      </w:r>
      <w:r>
        <w:t xml:space="preserve"> </w:t>
      </w:r>
      <w:r>
        <w:rPr>
          <w:szCs w:val="24"/>
        </w:rPr>
        <w:t>na kterém bude stavba realizována, a jehož vlastníkem je město Sezimovo Ústí.</w:t>
      </w:r>
    </w:p>
    <w:p w14:paraId="6FAAC7D5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768EB92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1FD416A1" w14:textId="43003C16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Žádost o souhlas s nákupem sporáku (ZŠ Švehlova 111) (mat. č. 45/2024)</w:t>
      </w:r>
    </w:p>
    <w:p w14:paraId="6120FAD2" w14:textId="0286E44D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</w:t>
      </w:r>
      <w:r w:rsidR="004A3531">
        <w:rPr>
          <w:rFonts w:cs="Calibri"/>
          <w:b/>
          <w:szCs w:val="24"/>
          <w:u w:val="single"/>
        </w:rPr>
        <w:t>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9433D14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780E425" w14:textId="77777777" w:rsidR="005F389F" w:rsidRPr="003D7F86" w:rsidRDefault="005F389F" w:rsidP="005F389F">
      <w:pPr>
        <w:contextualSpacing/>
        <w:jc w:val="both"/>
        <w:rPr>
          <w:b/>
          <w:szCs w:val="24"/>
        </w:rPr>
      </w:pPr>
      <w:bookmarkStart w:id="0" w:name="_Hlk80178896"/>
      <w:r w:rsidRPr="003D7F86">
        <w:rPr>
          <w:b/>
          <w:szCs w:val="24"/>
        </w:rPr>
        <w:t>I. S</w:t>
      </w:r>
      <w:r>
        <w:rPr>
          <w:b/>
          <w:szCs w:val="24"/>
        </w:rPr>
        <w:t>ouhlasí</w:t>
      </w:r>
    </w:p>
    <w:p w14:paraId="76BD0F3E" w14:textId="6D48649D" w:rsidR="005F389F" w:rsidRDefault="005F389F" w:rsidP="005F389F">
      <w:pPr>
        <w:contextualSpacing/>
        <w:jc w:val="both"/>
        <w:rPr>
          <w:szCs w:val="24"/>
        </w:rPr>
      </w:pPr>
      <w:r>
        <w:rPr>
          <w:szCs w:val="24"/>
        </w:rPr>
        <w:t xml:space="preserve">s nákupem nového sporáku pro školní jídelnu PO Základní škola </w:t>
      </w:r>
      <w:r w:rsidRPr="008B3ADB">
        <w:rPr>
          <w:szCs w:val="24"/>
        </w:rPr>
        <w:t xml:space="preserve">Sezimovo Ústí, </w:t>
      </w:r>
      <w:r>
        <w:rPr>
          <w:szCs w:val="24"/>
        </w:rPr>
        <w:t>Švehlova 111</w:t>
      </w:r>
      <w:r w:rsidRPr="008B3ADB">
        <w:rPr>
          <w:szCs w:val="24"/>
        </w:rPr>
        <w:t>, okres Tábor, IČ: 709383</w:t>
      </w:r>
      <w:r>
        <w:rPr>
          <w:szCs w:val="24"/>
        </w:rPr>
        <w:t>00, s předpokládanou pořizovací cenou 160</w:t>
      </w:r>
      <w:r w:rsidR="00611401">
        <w:rPr>
          <w:szCs w:val="24"/>
        </w:rPr>
        <w:t>.</w:t>
      </w:r>
      <w:r>
        <w:rPr>
          <w:szCs w:val="24"/>
        </w:rPr>
        <w:t>000 Kč</w:t>
      </w:r>
      <w:bookmarkStart w:id="1" w:name="_Hlk127450578"/>
      <w:bookmarkEnd w:id="0"/>
      <w:r>
        <w:rPr>
          <w:szCs w:val="24"/>
        </w:rPr>
        <w:t>. Investiční výdaj bude pokryt z fondu investic organizace.</w:t>
      </w:r>
    </w:p>
    <w:bookmarkEnd w:id="1"/>
    <w:p w14:paraId="786F055F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4362ADD1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2674D4BD" w14:textId="352CDA63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 xml:space="preserve">Zateplení budovy </w:t>
      </w:r>
      <w:proofErr w:type="spellStart"/>
      <w:r w:rsidRPr="009933D8">
        <w:rPr>
          <w:rFonts w:cs="Calibri"/>
          <w:b/>
          <w:bCs/>
          <w:szCs w:val="24"/>
        </w:rPr>
        <w:t>MěÚ</w:t>
      </w:r>
      <w:proofErr w:type="spellEnd"/>
      <w:r w:rsidRPr="009933D8">
        <w:rPr>
          <w:rFonts w:cs="Calibri"/>
          <w:b/>
          <w:bCs/>
          <w:szCs w:val="24"/>
        </w:rPr>
        <w:t xml:space="preserve"> – podání žádosti o dotaci KIF (mat. č. 46/2024)</w:t>
      </w:r>
    </w:p>
    <w:p w14:paraId="3F863A97" w14:textId="3A59B8E6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</w:t>
      </w:r>
      <w:r w:rsidR="004A3531">
        <w:rPr>
          <w:rFonts w:cs="Calibri"/>
          <w:b/>
          <w:szCs w:val="24"/>
          <w:u w:val="single"/>
        </w:rPr>
        <w:t>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B828B46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37C01A5" w14:textId="77777777" w:rsidR="005F389F" w:rsidRPr="00593435" w:rsidRDefault="005F389F" w:rsidP="005F389F">
      <w:pPr>
        <w:jc w:val="both"/>
        <w:rPr>
          <w:rFonts w:cs="Calibri"/>
          <w:b/>
          <w:szCs w:val="24"/>
        </w:rPr>
      </w:pPr>
      <w:bookmarkStart w:id="2" w:name="_Hlk29476263"/>
      <w:r w:rsidRPr="00593435">
        <w:rPr>
          <w:rFonts w:cs="Calibri"/>
          <w:b/>
          <w:szCs w:val="24"/>
        </w:rPr>
        <w:t>I. Schvaluje</w:t>
      </w:r>
    </w:p>
    <w:bookmarkEnd w:id="2"/>
    <w:p w14:paraId="27580443" w14:textId="77777777" w:rsidR="005F389F" w:rsidRPr="0013339E" w:rsidRDefault="005F389F" w:rsidP="005F389F">
      <w:pPr>
        <w:contextualSpacing/>
        <w:jc w:val="both"/>
        <w:rPr>
          <w:rStyle w:val="Siln"/>
          <w:rFonts w:cs="Calibri"/>
          <w:b w:val="0"/>
        </w:rPr>
      </w:pPr>
      <w:r w:rsidRPr="00593435">
        <w:rPr>
          <w:rStyle w:val="Siln"/>
          <w:rFonts w:cs="Calibri"/>
          <w:b w:val="0"/>
        </w:rPr>
        <w:t>podání žádosti o dotaci z</w:t>
      </w:r>
      <w:r>
        <w:rPr>
          <w:rStyle w:val="Siln"/>
          <w:rFonts w:cs="Calibri"/>
          <w:b w:val="0"/>
        </w:rPr>
        <w:t> výzvy Jihočeského kraje pr</w:t>
      </w:r>
      <w:r w:rsidRPr="000C5B19">
        <w:rPr>
          <w:rStyle w:val="Siln"/>
          <w:rFonts w:cs="Calibri"/>
          <w:b w:val="0"/>
        </w:rPr>
        <w:t>o podávání žádostí do Krajského investičního fondu na rok 202</w:t>
      </w:r>
      <w:r>
        <w:rPr>
          <w:rStyle w:val="Siln"/>
          <w:rFonts w:cs="Calibri"/>
          <w:b w:val="0"/>
        </w:rPr>
        <w:t>4</w:t>
      </w:r>
      <w:r w:rsidRPr="000C5B19">
        <w:rPr>
          <w:rStyle w:val="Siln"/>
          <w:rFonts w:cs="Calibri"/>
          <w:b w:val="0"/>
        </w:rPr>
        <w:t xml:space="preserve"> </w:t>
      </w:r>
      <w:r>
        <w:rPr>
          <w:rStyle w:val="Siln"/>
          <w:rFonts w:cs="Calibri"/>
          <w:b w:val="0"/>
        </w:rPr>
        <w:t xml:space="preserve">na projekt </w:t>
      </w:r>
      <w:r>
        <w:rPr>
          <w:rFonts w:cs="Calibri"/>
          <w:szCs w:val="24"/>
        </w:rPr>
        <w:t xml:space="preserve">„Zateplení budovy </w:t>
      </w:r>
      <w:proofErr w:type="spellStart"/>
      <w:r>
        <w:rPr>
          <w:rFonts w:cs="Calibri"/>
          <w:szCs w:val="24"/>
        </w:rPr>
        <w:t>MěÚ</w:t>
      </w:r>
      <w:proofErr w:type="spellEnd"/>
      <w:r>
        <w:rPr>
          <w:rFonts w:cs="Calibri"/>
          <w:szCs w:val="24"/>
        </w:rPr>
        <w:t xml:space="preserve"> Sezimovo Ústí“</w:t>
      </w:r>
      <w:r>
        <w:rPr>
          <w:rStyle w:val="Siln"/>
          <w:rFonts w:cs="Calibri"/>
          <w:b w:val="0"/>
        </w:rPr>
        <w:t>.</w:t>
      </w:r>
    </w:p>
    <w:p w14:paraId="14C892B6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5D7A287F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6B121D9D" w14:textId="31F53DF8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Zápis č. 1 ze schůze Komise MHD, konané dne 31.01.2024 (mat. č. 47/2024)</w:t>
      </w:r>
    </w:p>
    <w:p w14:paraId="3DDA8DC0" w14:textId="58534990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</w:t>
      </w:r>
      <w:r w:rsidR="004A3531">
        <w:rPr>
          <w:rFonts w:cs="Calibri"/>
          <w:b/>
          <w:szCs w:val="24"/>
          <w:u w:val="single"/>
        </w:rPr>
        <w:t>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47CCA82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0D36AD9" w14:textId="77777777" w:rsidR="005F389F" w:rsidRDefault="005F389F" w:rsidP="005F389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19B6B6A4" w14:textId="481E26EA" w:rsidR="005F389F" w:rsidRDefault="005F389F" w:rsidP="005F389F">
      <w:pPr>
        <w:jc w:val="both"/>
        <w:rPr>
          <w:rFonts w:cs="Calibri"/>
          <w:szCs w:val="24"/>
        </w:rPr>
      </w:pPr>
      <w:bookmarkStart w:id="3" w:name="_Hlk40439415"/>
      <w:r w:rsidRPr="00BA305C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1</w:t>
      </w:r>
      <w:r w:rsidRPr="00BA305C">
        <w:rPr>
          <w:rFonts w:cs="Calibri"/>
          <w:szCs w:val="24"/>
        </w:rPr>
        <w:t xml:space="preserve"> ze schůze Komise MH a dopravy RM Sezimovo Ústí, konané dne </w:t>
      </w:r>
      <w:r>
        <w:rPr>
          <w:rFonts w:cs="Calibri"/>
          <w:szCs w:val="24"/>
        </w:rPr>
        <w:t>31.01</w:t>
      </w:r>
      <w:r w:rsidRPr="00BA305C">
        <w:rPr>
          <w:rFonts w:cs="Calibri"/>
          <w:szCs w:val="24"/>
        </w:rPr>
        <w:t>.</w:t>
      </w:r>
      <w:r>
        <w:rPr>
          <w:rFonts w:cs="Calibri"/>
          <w:szCs w:val="24"/>
        </w:rPr>
        <w:t>202</w:t>
      </w:r>
      <w:bookmarkEnd w:id="3"/>
      <w:r>
        <w:rPr>
          <w:rFonts w:cs="Calibri"/>
          <w:szCs w:val="24"/>
        </w:rPr>
        <w:t>4</w:t>
      </w:r>
      <w:r w:rsidRPr="00BA305C">
        <w:rPr>
          <w:rFonts w:cs="Calibri"/>
          <w:szCs w:val="24"/>
        </w:rPr>
        <w:t xml:space="preserve"> bez připomínek</w:t>
      </w:r>
      <w:r>
        <w:rPr>
          <w:rFonts w:cs="Calibri"/>
          <w:szCs w:val="24"/>
        </w:rPr>
        <w:t>.</w:t>
      </w:r>
    </w:p>
    <w:p w14:paraId="17B552FE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D98ADC1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310710C3" w14:textId="23CF9024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Zřízení služebnosti inženýrské sítě vč. souhlasu se stavbou – el. komunikace, CETIN (mat. č. 48/2024)</w:t>
      </w:r>
    </w:p>
    <w:p w14:paraId="2DA7B99B" w14:textId="630EEFDC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4</w:t>
      </w:r>
      <w:r w:rsidR="004A3531">
        <w:rPr>
          <w:rFonts w:cs="Calibri"/>
          <w:b/>
          <w:szCs w:val="24"/>
          <w:u w:val="single"/>
        </w:rPr>
        <w:t>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6883A64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ABD767A" w14:textId="77777777" w:rsidR="005F389F" w:rsidRPr="00244949" w:rsidRDefault="005F389F" w:rsidP="005F389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1176F6F2" w14:textId="6D85AD2F" w:rsidR="005F389F" w:rsidRDefault="005F389F" w:rsidP="005F389F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elektronických komunikací v celkové délce cca 1.251 m, distribučních rozvaděčů a kabelových komor na pozemcích č.  </w:t>
      </w:r>
      <w:proofErr w:type="spellStart"/>
      <w:r>
        <w:t>parc</w:t>
      </w:r>
      <w:proofErr w:type="spellEnd"/>
      <w:r>
        <w:t>. 193/2 – zahrada, 193/6 – ostatní plocha, zeleň, 193/12 – ostatní plocha, zeleň, 193/24 – ostatní plocha, ostatní komunikace, 193/45 – ostatní plocha, zeleň, 195/1 – ostatní plocha, zeleň, 195/2 – ostatní plocha, zeleň, 195/5 – ostatní plocha, zeleň, 195/9 – ostatní plocha, ostatní komunikace, 195/14 – ostatní plocha, zeleň, 195/22 – ostatní plocha, zeleň, 195/25 – ostatní plocha, zeleň, 195/27 – ostatní plocha, zeleň, 195/38 – ostatní plocha, jiná plocha, 195/39 – ostatní plocha, zeleň, 195/68 – ostatní plocha, ostatní komunikace, 195/69 – ostatní plocha, ostatní komunikace, 195/78 – ostatní plocha, ostatní komunikace, 195/104 – ostatní plocha, ostatní komunikace, 195/107 – ostatní plocha, ostatní komunikace, 196/2 – ostatní plocha, manipulační plocha,  199/3 – ostatní plocha, zeleň, 199/4 – ostatní plocha, zeleň, 199/5 – ostatní plocha, zeleň, 199/12 – ostatní plocha, ostatní komunikace, 199/21 – ostatní plocha, zeleň, 199/22 – ostatní plocha, zeleň, 199/23 – ostatní plocha, zeleň, 199/27 – zahrada, 199/30 – ostatní plocha, ostatní komunikace, 199/31 – ostatní plocha, ostatní komunikace, 199/37 – ostatní plocha, ostatní komunikace, 199/38 – ostatní plocha, ostatní komunikace,  199/40 – ostatní plocha, zeleň, 199/49 – ostatní plocha, zeleň,  199/55 – ostatní plocha, ostatní komunikace, 205/1 – ostatní plocha, zeleň, 820/1 – ostatní plocha, ostatní komunikace, 835/3 – ostatní plocha, ostatní komunikace, 835/4 – ostatní plocha, ostatní komunikace, 969 – ostatní plocha, zeleň, 990 – ostatní plocha, manipulační plocha, st. 501 – zastavěná plocha a nádvoří, st. 562/1 – zastavěná plocha a nádvoří a 839 – ostatní plocha, ostatní komunikace</w:t>
      </w:r>
      <w:r>
        <w:rPr>
          <w:szCs w:val="24"/>
        </w:rPr>
        <w:t xml:space="preserve">, vše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 xml:space="preserve">, </w:t>
      </w:r>
      <w:r>
        <w:t xml:space="preserve">jako služebnost osobní, </w:t>
      </w:r>
      <w:r w:rsidRPr="007300E9">
        <w:t xml:space="preserve">ve prospěch </w:t>
      </w:r>
      <w:r>
        <w:t>společnosti CETIN a.s., IČ: 04084063, se sídlem Českomoravská 2510/19, 190 00  Praha 9 - Libeň,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jednorázovou náhradu ve výši 146.000 Kč </w:t>
      </w:r>
      <w:r w:rsidRPr="00360613">
        <w:t>+ 21%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</w:t>
      </w:r>
    </w:p>
    <w:p w14:paraId="1BEC667A" w14:textId="77777777" w:rsidR="005F389F" w:rsidRPr="00244949" w:rsidRDefault="005F389F" w:rsidP="005F389F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57241183" w14:textId="34AB4300" w:rsidR="005F389F" w:rsidRDefault="005F389F" w:rsidP="005F389F">
      <w:pPr>
        <w:jc w:val="both"/>
        <w:rPr>
          <w:szCs w:val="24"/>
        </w:rPr>
      </w:pPr>
      <w:r>
        <w:rPr>
          <w:szCs w:val="24"/>
        </w:rPr>
        <w:t xml:space="preserve">se stavbou „11010-106786 FTTx_FIS_SVS_SETAB1_16018434_UR“ na </w:t>
      </w:r>
      <w:r>
        <w:t xml:space="preserve">pozemcích č.  </w:t>
      </w:r>
      <w:proofErr w:type="spellStart"/>
      <w:r>
        <w:t>parc</w:t>
      </w:r>
      <w:proofErr w:type="spellEnd"/>
      <w:r>
        <w:t xml:space="preserve">. 193/2 – zahrada, 193/6 – ostatní plocha, zeleň, 193/12 – ostatní plocha, zeleň, 193/24 – ostatní plocha, ostatní komunikace, 193/45 – ostatní plocha, zeleň, 195/1 – ostatní plocha, zeleň, 195/2 – ostatní plocha, zeleň, 195/5 – ostatní plocha, zeleň, 195/9 – ostatní plocha, ostatní komunikace, 195/14 – ostatní plocha, zeleň, 195/22 – ostatní plocha, zeleň, 195/25 – ostatní plocha, zeleň, 195/27 – ostatní plocha, zeleň, 195/38 – ostatní plocha, jiná plocha, 195/39 – ostatní plocha, zeleň, 195/68 – ostatní plocha, ostatní komunikace, 195/69 – </w:t>
      </w:r>
      <w:proofErr w:type="spellStart"/>
      <w:r>
        <w:t>osttní</w:t>
      </w:r>
      <w:proofErr w:type="spellEnd"/>
      <w:r>
        <w:t xml:space="preserve"> plocha, ostatní komunikace, 195/78 – ostatní plocha, ostatní komunikace, 195/104 – ostatní plocha, ostatní komunikace, 195/107 – ostatní plocha, ostatní komunikace, 196/2 – ostatní plocha, manipulační plocha,  199/3 – ostatní plocha, zeleň, 199/4 – ostatní plocha, zeleň, 199/5 – ostatní plocha, zeleň, 199/12 – ostatní plocha, ostatní komunikace, 199/21 – ostatní plocha, zeleň, 199/22 – ostatní plocha, zeleň, 199/23 – ostatní plocha, zeleň, 199/27 – zahrada, 199/30 – ostatní plocha, ostatní komunikace, 199/31 – ostatní plocha, ostatní komunikace, 199/37 – ostatní plocha, ostatní komunikace, 199/38 – ostatní plocha, ostatní komunikace,  199/40 – ostatní plocha, zeleň, 199/49 – ostatní plocha, zeleň,  199/55 – ostatní plocha, ostatní komunikace, 205/1 – ostatní plocha, zeleň, 820/1 – ostatní plocha, ostatní komunikace, 835/3 – ostatní plocha, ostatní komunikace, 835/4 – ostatní plocha, ostatní komunikace, 969 – ostatní plocha, zeleň, 990 – ostatní plocha, manipulační plocha, st. 501 – zastavěná plocha a nádvoří, st. 562/1 – zastavěná plocha a nádvoří a 839 – ostatní plocha, ostatní komunikace</w:t>
      </w:r>
      <w:r>
        <w:rPr>
          <w:szCs w:val="24"/>
        </w:rPr>
        <w:t xml:space="preserve">, vše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>,</w:t>
      </w:r>
      <w:r>
        <w:t xml:space="preserve"> </w:t>
      </w:r>
      <w:r>
        <w:rPr>
          <w:szCs w:val="24"/>
        </w:rPr>
        <w:t>na kterých má být stavba realizována, a jejichž vlastníkem je město Sezimovo Ústí.</w:t>
      </w:r>
    </w:p>
    <w:p w14:paraId="1A018D40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2F9FFD14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771AE513" w14:textId="49E767AA" w:rsid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IT vybavení pro stavební úřad – žádost o dotaci (mat. č. 49/2024)</w:t>
      </w:r>
    </w:p>
    <w:p w14:paraId="0900AC09" w14:textId="696E5711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4A3531">
        <w:rPr>
          <w:rFonts w:cs="Calibri"/>
          <w:b/>
          <w:szCs w:val="24"/>
          <w:u w:val="single"/>
        </w:rPr>
        <w:t>5</w:t>
      </w:r>
      <w:r>
        <w:rPr>
          <w:rFonts w:cs="Calibri"/>
          <w:b/>
          <w:szCs w:val="24"/>
          <w:u w:val="single"/>
        </w:rPr>
        <w:t>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9D490E9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4DE8E93" w14:textId="77777777" w:rsidR="005F389F" w:rsidRPr="00593435" w:rsidRDefault="005F389F" w:rsidP="005F389F">
      <w:pPr>
        <w:jc w:val="both"/>
        <w:rPr>
          <w:rFonts w:cs="Calibri"/>
          <w:b/>
          <w:szCs w:val="24"/>
        </w:rPr>
      </w:pPr>
      <w:r w:rsidRPr="00593435">
        <w:rPr>
          <w:rFonts w:cs="Calibri"/>
          <w:b/>
          <w:szCs w:val="24"/>
        </w:rPr>
        <w:t>I. Schvaluje</w:t>
      </w:r>
    </w:p>
    <w:p w14:paraId="09105694" w14:textId="7292CF8B" w:rsidR="005F389F" w:rsidRPr="00A16296" w:rsidRDefault="005F389F" w:rsidP="005F389F">
      <w:pPr>
        <w:pStyle w:val="Default"/>
        <w:jc w:val="both"/>
        <w:rPr>
          <w:rStyle w:val="Siln"/>
          <w:rFonts w:ascii="Calibri" w:hAnsi="Calibri" w:cs="Calibri"/>
          <w:b w:val="0"/>
        </w:rPr>
      </w:pPr>
      <w:r w:rsidRPr="00593435">
        <w:rPr>
          <w:rStyle w:val="Siln"/>
          <w:rFonts w:ascii="Calibri" w:hAnsi="Calibri" w:cs="Calibri"/>
          <w:b w:val="0"/>
        </w:rPr>
        <w:t xml:space="preserve">podání žádosti o dotaci </w:t>
      </w:r>
      <w:r>
        <w:rPr>
          <w:rStyle w:val="Siln"/>
          <w:rFonts w:ascii="Calibri" w:hAnsi="Calibri" w:cs="Calibri"/>
          <w:b w:val="0"/>
        </w:rPr>
        <w:t>v rámci</w:t>
      </w:r>
      <w:r w:rsidRPr="001137F5">
        <w:rPr>
          <w:rStyle w:val="Siln"/>
          <w:rFonts w:ascii="Calibri" w:hAnsi="Calibri" w:cs="Calibri"/>
          <w:b w:val="0"/>
        </w:rPr>
        <w:t xml:space="preserve"> </w:t>
      </w:r>
      <w:r w:rsidRPr="00A16296">
        <w:rPr>
          <w:rStyle w:val="Siln"/>
          <w:rFonts w:ascii="Calibri" w:hAnsi="Calibri" w:cs="Calibri"/>
          <w:b w:val="0"/>
        </w:rPr>
        <w:t xml:space="preserve">2. výzvy </w:t>
      </w:r>
      <w:proofErr w:type="spellStart"/>
      <w:r w:rsidRPr="00A16296">
        <w:rPr>
          <w:rStyle w:val="Siln"/>
          <w:rFonts w:ascii="Calibri" w:hAnsi="Calibri" w:cs="Calibri"/>
          <w:b w:val="0"/>
        </w:rPr>
        <w:t>subkomponenty</w:t>
      </w:r>
      <w:proofErr w:type="spellEnd"/>
      <w:r w:rsidRPr="00A16296">
        <w:rPr>
          <w:rStyle w:val="Siln"/>
          <w:rFonts w:ascii="Calibri" w:hAnsi="Calibri" w:cs="Calibri"/>
          <w:b w:val="0"/>
        </w:rPr>
        <w:t xml:space="preserve"> 1.6.1 </w:t>
      </w:r>
      <w:r w:rsidR="00A7493B">
        <w:rPr>
          <w:rStyle w:val="Siln"/>
          <w:rFonts w:ascii="Calibri" w:hAnsi="Calibri" w:cs="Calibri"/>
          <w:b w:val="0"/>
        </w:rPr>
        <w:t>–</w:t>
      </w:r>
      <w:r w:rsidRPr="00A16296">
        <w:rPr>
          <w:rStyle w:val="Siln"/>
          <w:rFonts w:ascii="Calibri" w:hAnsi="Calibri" w:cs="Calibri"/>
          <w:b w:val="0"/>
        </w:rPr>
        <w:t xml:space="preserve"> Zavedení nového stavebního zákona do praxe "IT vybavení pro stavební úřady" Ministerstva pro místní rozvoj</w:t>
      </w:r>
      <w:r>
        <w:rPr>
          <w:rStyle w:val="Siln"/>
          <w:rFonts w:ascii="Calibri" w:hAnsi="Calibri" w:cs="Calibri"/>
          <w:b w:val="0"/>
        </w:rPr>
        <w:t xml:space="preserve"> na vybavení stavebního úřadu 5 standardizovanými balíčky informační techniky. </w:t>
      </w:r>
    </w:p>
    <w:p w14:paraId="1C250400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0E6123A4" w14:textId="77777777" w:rsidR="00230FD2" w:rsidRPr="009933D8" w:rsidRDefault="00230FD2" w:rsidP="009933D8">
      <w:pPr>
        <w:contextualSpacing/>
        <w:jc w:val="both"/>
        <w:rPr>
          <w:rFonts w:cs="Calibri"/>
          <w:b/>
          <w:bCs/>
          <w:szCs w:val="24"/>
        </w:rPr>
      </w:pPr>
    </w:p>
    <w:p w14:paraId="5DD2FABE" w14:textId="0667C17A" w:rsidR="009933D8" w:rsidRPr="009933D8" w:rsidRDefault="009933D8" w:rsidP="009933D8">
      <w:pPr>
        <w:contextualSpacing/>
        <w:jc w:val="both"/>
        <w:rPr>
          <w:rFonts w:cs="Calibri"/>
          <w:b/>
          <w:bCs/>
          <w:szCs w:val="24"/>
        </w:rPr>
      </w:pPr>
      <w:r w:rsidRPr="009933D8">
        <w:rPr>
          <w:rFonts w:cs="Calibri"/>
          <w:b/>
          <w:bCs/>
          <w:szCs w:val="24"/>
        </w:rPr>
        <w:t>Vozidlo na přepravu obědů – změna usnesení RM (mat. č. 50/2024)</w:t>
      </w:r>
    </w:p>
    <w:p w14:paraId="3A01C89D" w14:textId="3FA6E419" w:rsidR="00230FD2" w:rsidRPr="003D7B04" w:rsidRDefault="00230FD2" w:rsidP="00230FD2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4A3531">
        <w:rPr>
          <w:rFonts w:cs="Calibri"/>
          <w:b/>
          <w:szCs w:val="24"/>
          <w:u w:val="single"/>
        </w:rPr>
        <w:t>51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17A08B9" w14:textId="77777777" w:rsidR="00230FD2" w:rsidRDefault="00230FD2" w:rsidP="00230FD2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0A665D4" w14:textId="77777777" w:rsidR="005F389F" w:rsidRPr="00F96291" w:rsidRDefault="005F389F" w:rsidP="005F389F">
      <w:pPr>
        <w:contextualSpacing/>
        <w:jc w:val="both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I. </w:t>
      </w:r>
      <w:r w:rsidRPr="00F96291">
        <w:rPr>
          <w:rFonts w:cs="Calibri"/>
          <w:b/>
          <w:bCs/>
          <w:szCs w:val="24"/>
        </w:rPr>
        <w:t xml:space="preserve">Revokuje </w:t>
      </w:r>
    </w:p>
    <w:p w14:paraId="3A9D7B04" w14:textId="0530F186" w:rsidR="005F389F" w:rsidRPr="00FE37C7" w:rsidRDefault="005F389F" w:rsidP="005F389F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usnesení RM č. 29/2024 z 22.01.2024</w:t>
      </w:r>
      <w:r w:rsidR="00A7493B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</w:p>
    <w:p w14:paraId="46850BD0" w14:textId="77777777" w:rsidR="005F389F" w:rsidRPr="00F96291" w:rsidRDefault="005F389F" w:rsidP="005F389F">
      <w:pPr>
        <w:contextualSpacing/>
        <w:jc w:val="both"/>
        <w:rPr>
          <w:rFonts w:cs="Calibri"/>
          <w:b/>
          <w:bCs/>
          <w:szCs w:val="24"/>
        </w:rPr>
      </w:pPr>
      <w:r w:rsidRPr="00F96291">
        <w:rPr>
          <w:rFonts w:cs="Calibri"/>
          <w:b/>
          <w:bCs/>
          <w:szCs w:val="24"/>
        </w:rPr>
        <w:t>II. Neschvaluje</w:t>
      </w:r>
    </w:p>
    <w:p w14:paraId="79230FB6" w14:textId="77777777" w:rsidR="005F389F" w:rsidRDefault="005F389F" w:rsidP="005F389F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záměr </w:t>
      </w:r>
      <w:proofErr w:type="spellStart"/>
      <w:r>
        <w:rPr>
          <w:rFonts w:cs="Calibri"/>
          <w:szCs w:val="24"/>
        </w:rPr>
        <w:t>p.o</w:t>
      </w:r>
      <w:proofErr w:type="spellEnd"/>
      <w:r>
        <w:rPr>
          <w:rFonts w:cs="Calibri"/>
          <w:szCs w:val="24"/>
        </w:rPr>
        <w:t>. Správa města Sezimovo Ústí na pořízení elektromobilu s uzavřenou nástavbou na přepravu obědů ze základních škol do mateřských škol a do Domu s pečovatelskou službou a prádla na saunu.</w:t>
      </w:r>
    </w:p>
    <w:p w14:paraId="29C610F8" w14:textId="77777777" w:rsidR="00230FD2" w:rsidRDefault="00230FD2" w:rsidP="00230FD2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0F92227A" w14:textId="77777777" w:rsidR="00E60270" w:rsidRDefault="00E60270" w:rsidP="00C90D9B">
      <w:pPr>
        <w:rPr>
          <w:rFonts w:cs="Calibri"/>
          <w:szCs w:val="24"/>
        </w:rPr>
      </w:pPr>
    </w:p>
    <w:p w14:paraId="34A5376E" w14:textId="77777777" w:rsidR="001044D6" w:rsidRPr="003D7B04" w:rsidRDefault="001044D6" w:rsidP="00D12567">
      <w:pPr>
        <w:contextualSpacing/>
        <w:jc w:val="both"/>
        <w:rPr>
          <w:rFonts w:cs="Calibri"/>
          <w:szCs w:val="24"/>
        </w:rPr>
      </w:pPr>
    </w:p>
    <w:p w14:paraId="4FBDD372" w14:textId="598E79D1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Mgr. Ing. Martin Doležal, LL.M.</w:t>
      </w:r>
      <w:r w:rsidR="00FF08F9">
        <w:rPr>
          <w:rFonts w:cs="Calibri"/>
          <w:szCs w:val="24"/>
        </w:rPr>
        <w:t xml:space="preserve"> v. r.</w:t>
      </w:r>
      <w:r w:rsidR="00821541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FF08F9">
        <w:rPr>
          <w:rFonts w:cs="Calibri"/>
          <w:szCs w:val="24"/>
        </w:rPr>
        <w:t xml:space="preserve"> v. r.</w:t>
      </w:r>
      <w:r w:rsidRPr="003D7B04">
        <w:rPr>
          <w:rFonts w:cs="Calibri"/>
          <w:szCs w:val="24"/>
        </w:rPr>
        <w:tab/>
      </w:r>
    </w:p>
    <w:p w14:paraId="25DA4EAC" w14:textId="1AF1BEA6" w:rsidR="00D12567" w:rsidRDefault="00D12567" w:rsidP="001A6C3A">
      <w:pPr>
        <w:contextualSpacing/>
        <w:jc w:val="both"/>
      </w:pPr>
      <w:r w:rsidRPr="003D7B04">
        <w:rPr>
          <w:rFonts w:cs="Calibri"/>
          <w:szCs w:val="24"/>
        </w:rPr>
        <w:t>starosta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  <w:t>místostarost</w:t>
      </w:r>
      <w:r w:rsidR="00C82849">
        <w:rPr>
          <w:rFonts w:cs="Calibri"/>
          <w:szCs w:val="24"/>
        </w:rPr>
        <w:t>k</w:t>
      </w:r>
      <w:r w:rsidRPr="003D7B04">
        <w:rPr>
          <w:rFonts w:cs="Calibri"/>
          <w:szCs w:val="24"/>
        </w:rPr>
        <w:t>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5"/>
  </w:num>
  <w:num w:numId="5" w16cid:durableId="700592238">
    <w:abstractNumId w:val="10"/>
  </w:num>
  <w:num w:numId="6" w16cid:durableId="821390463">
    <w:abstractNumId w:val="8"/>
  </w:num>
  <w:num w:numId="7" w16cid:durableId="1736397533">
    <w:abstractNumId w:val="13"/>
  </w:num>
  <w:num w:numId="8" w16cid:durableId="109014148">
    <w:abstractNumId w:val="14"/>
  </w:num>
  <w:num w:numId="9" w16cid:durableId="39941673">
    <w:abstractNumId w:val="11"/>
  </w:num>
  <w:num w:numId="10" w16cid:durableId="394276919">
    <w:abstractNumId w:val="2"/>
  </w:num>
  <w:num w:numId="11" w16cid:durableId="395205823">
    <w:abstractNumId w:val="4"/>
  </w:num>
  <w:num w:numId="12" w16cid:durableId="1336348092">
    <w:abstractNumId w:val="3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12"/>
  </w:num>
  <w:num w:numId="16" w16cid:durableId="1680499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11600"/>
    <w:rsid w:val="000123B3"/>
    <w:rsid w:val="0004462A"/>
    <w:rsid w:val="00094611"/>
    <w:rsid w:val="000D7CC6"/>
    <w:rsid w:val="000E1C7F"/>
    <w:rsid w:val="001044D6"/>
    <w:rsid w:val="00181FB5"/>
    <w:rsid w:val="001A6C3A"/>
    <w:rsid w:val="00200890"/>
    <w:rsid w:val="00221933"/>
    <w:rsid w:val="00230FD2"/>
    <w:rsid w:val="002343A1"/>
    <w:rsid w:val="00257CAA"/>
    <w:rsid w:val="00265D86"/>
    <w:rsid w:val="00287AFC"/>
    <w:rsid w:val="002947F6"/>
    <w:rsid w:val="002B1CF5"/>
    <w:rsid w:val="002C2C32"/>
    <w:rsid w:val="002C6510"/>
    <w:rsid w:val="0031749E"/>
    <w:rsid w:val="003647EF"/>
    <w:rsid w:val="003B7F68"/>
    <w:rsid w:val="00406FDC"/>
    <w:rsid w:val="004A3531"/>
    <w:rsid w:val="004E78DC"/>
    <w:rsid w:val="005115AA"/>
    <w:rsid w:val="00547C33"/>
    <w:rsid w:val="005706E0"/>
    <w:rsid w:val="005D682B"/>
    <w:rsid w:val="005F389F"/>
    <w:rsid w:val="00610C19"/>
    <w:rsid w:val="00611401"/>
    <w:rsid w:val="0062247D"/>
    <w:rsid w:val="00662DA6"/>
    <w:rsid w:val="006A3311"/>
    <w:rsid w:val="006E6CC1"/>
    <w:rsid w:val="006F4565"/>
    <w:rsid w:val="00806482"/>
    <w:rsid w:val="00821541"/>
    <w:rsid w:val="0085733D"/>
    <w:rsid w:val="009043D8"/>
    <w:rsid w:val="009318D6"/>
    <w:rsid w:val="009651B2"/>
    <w:rsid w:val="009933D8"/>
    <w:rsid w:val="00A7493B"/>
    <w:rsid w:val="00B50739"/>
    <w:rsid w:val="00C24A2D"/>
    <w:rsid w:val="00C82849"/>
    <w:rsid w:val="00C873A7"/>
    <w:rsid w:val="00C90D9B"/>
    <w:rsid w:val="00C937A6"/>
    <w:rsid w:val="00CC1719"/>
    <w:rsid w:val="00D12567"/>
    <w:rsid w:val="00D31160"/>
    <w:rsid w:val="00DB3026"/>
    <w:rsid w:val="00DE3333"/>
    <w:rsid w:val="00E15481"/>
    <w:rsid w:val="00E60270"/>
    <w:rsid w:val="00E65964"/>
    <w:rsid w:val="00E74C52"/>
    <w:rsid w:val="00E82F65"/>
    <w:rsid w:val="00F532CB"/>
    <w:rsid w:val="00F70E66"/>
    <w:rsid w:val="00FA68E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semiHidden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2024-02-06T10:19:00Z</cp:lastPrinted>
  <dcterms:created xsi:type="dcterms:W3CDTF">2024-02-08T10:18:00Z</dcterms:created>
  <dcterms:modified xsi:type="dcterms:W3CDTF">2024-02-08T10:18:00Z</dcterms:modified>
</cp:coreProperties>
</file>